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25AF87" w14:textId="50031B2B" w:rsidR="001D2026" w:rsidRPr="00625CEC" w:rsidRDefault="006C66C1" w:rsidP="00573E5B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r w:rsidR="003530C1" w:rsidRPr="00625CEC">
        <w:rPr>
          <w:rFonts w:ascii="Arial" w:hAnsi="Arial" w:cs="Arial"/>
          <w:b/>
          <w:color w:val="000000"/>
        </w:rPr>
        <w:t xml:space="preserve"> </w:t>
      </w:r>
      <w:r w:rsidR="009D45E5">
        <w:rPr>
          <w:rFonts w:ascii="Arial" w:hAnsi="Arial" w:cs="Arial"/>
          <w:b/>
          <w:color w:val="000000"/>
        </w:rPr>
        <w:t>5</w:t>
      </w:r>
      <w:r w:rsidR="001D2026" w:rsidRPr="00625CEC">
        <w:rPr>
          <w:rFonts w:ascii="Arial" w:hAnsi="Arial" w:cs="Arial"/>
          <w:b/>
          <w:color w:val="000000"/>
        </w:rPr>
        <w:br/>
      </w:r>
      <w:r w:rsidR="001D2026" w:rsidRPr="00625CEC">
        <w:rPr>
          <w:rFonts w:ascii="Arial" w:hAnsi="Arial" w:cs="Arial"/>
          <w:color w:val="000000"/>
        </w:rPr>
        <w:t xml:space="preserve">Linear </w:t>
      </w:r>
      <w:r w:rsidR="00906052" w:rsidRPr="00625CEC">
        <w:rPr>
          <w:rFonts w:ascii="Arial" w:hAnsi="Arial" w:cs="Arial"/>
          <w:color w:val="000000"/>
        </w:rPr>
        <w:t xml:space="preserve">regression </w:t>
      </w:r>
      <w:r w:rsidR="001D2026" w:rsidRPr="00625CEC">
        <w:rPr>
          <w:rFonts w:ascii="Arial" w:hAnsi="Arial" w:cs="Arial"/>
          <w:color w:val="000000"/>
        </w:rPr>
        <w:t>model f</w:t>
      </w:r>
      <w:r w:rsidR="00906052" w:rsidRPr="00625CEC">
        <w:rPr>
          <w:rFonts w:ascii="Arial" w:hAnsi="Arial" w:cs="Arial"/>
          <w:color w:val="000000"/>
        </w:rPr>
        <w:t>or</w:t>
      </w:r>
      <w:r w:rsidR="001D2026" w:rsidRPr="00625CEC">
        <w:rPr>
          <w:rFonts w:ascii="Arial" w:hAnsi="Arial" w:cs="Arial"/>
          <w:color w:val="000000"/>
        </w:rPr>
        <w:t xml:space="preserve"> change in BCVA </w:t>
      </w:r>
      <w:r w:rsidR="002658FC">
        <w:rPr>
          <w:rFonts w:ascii="Arial" w:hAnsi="Arial" w:cs="Arial"/>
          <w:color w:val="000000"/>
        </w:rPr>
        <w:t>from baseline to</w:t>
      </w:r>
      <w:r w:rsidR="00867605">
        <w:rPr>
          <w:rFonts w:ascii="Arial" w:hAnsi="Arial" w:cs="Arial"/>
          <w:color w:val="000000"/>
        </w:rPr>
        <w:t xml:space="preserve"> </w:t>
      </w:r>
      <w:r w:rsidR="001D2026" w:rsidRPr="00625CEC">
        <w:rPr>
          <w:rFonts w:ascii="Arial" w:hAnsi="Arial" w:cs="Arial"/>
          <w:color w:val="000000"/>
        </w:rPr>
        <w:t>Month 12 (</w:t>
      </w:r>
      <w:r w:rsidR="00D02D60">
        <w:rPr>
          <w:rFonts w:ascii="Arial" w:hAnsi="Arial" w:cs="Arial"/>
          <w:color w:val="000000"/>
        </w:rPr>
        <w:t>FAS</w:t>
      </w:r>
      <w:r w:rsidR="001D2026" w:rsidRPr="00625CEC">
        <w:rPr>
          <w:rFonts w:ascii="Arial" w:hAnsi="Arial" w:cs="Arial"/>
          <w:color w:val="000000"/>
        </w:rPr>
        <w:t>)</w:t>
      </w:r>
    </w:p>
    <w:tbl>
      <w:tblPr>
        <w:tblW w:w="945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1573"/>
        <w:gridCol w:w="2610"/>
        <w:gridCol w:w="1862"/>
        <w:gridCol w:w="1118"/>
      </w:tblGrid>
      <w:tr w:rsidR="001D2026" w:rsidRPr="00625CEC" w14:paraId="77E7E73D" w14:textId="77777777" w:rsidTr="00861066">
        <w:trPr>
          <w:cantSplit/>
          <w:tblHeader/>
        </w:trPr>
        <w:tc>
          <w:tcPr>
            <w:tcW w:w="22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6CBBC7D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Treatment</w:t>
            </w:r>
          </w:p>
        </w:tc>
        <w:tc>
          <w:tcPr>
            <w:tcW w:w="15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10AD75C" w14:textId="33E4BBA3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 xml:space="preserve">Baseline </w:t>
            </w:r>
            <w:r w:rsidR="00E40825">
              <w:rPr>
                <w:rFonts w:ascii="Arial" w:hAnsi="Arial" w:cs="Arial"/>
                <w:b/>
              </w:rPr>
              <w:t>cysts</w:t>
            </w:r>
          </w:p>
        </w:tc>
        <w:tc>
          <w:tcPr>
            <w:tcW w:w="26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57F4B6FE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Mean change in BCVA (95% CI)</w:t>
            </w:r>
          </w:p>
        </w:tc>
        <w:tc>
          <w:tcPr>
            <w:tcW w:w="18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21D0E8E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 xml:space="preserve">Difference </w:t>
            </w:r>
            <w:r w:rsidRPr="00625CEC">
              <w:rPr>
                <w:rFonts w:ascii="Arial" w:hAnsi="Arial" w:cs="Arial"/>
                <w:b/>
              </w:rPr>
              <w:br/>
              <w:t>(95% CI)</w:t>
            </w:r>
          </w:p>
        </w:tc>
        <w:tc>
          <w:tcPr>
            <w:tcW w:w="11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0FC44717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p-value</w:t>
            </w:r>
          </w:p>
        </w:tc>
      </w:tr>
      <w:tr w:rsidR="001D2026" w:rsidRPr="00625CEC" w14:paraId="64511835" w14:textId="77777777" w:rsidTr="00D043B5">
        <w:trPr>
          <w:cantSplit/>
          <w:trHeight w:val="418"/>
        </w:trPr>
        <w:tc>
          <w:tcPr>
            <w:tcW w:w="2287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5A5759F0" w14:textId="44B9FCE3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Ranibizumab 0.5mg: VA only (Group I)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4223B4E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No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04A077D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11.37 (8.00, 14.75)</w:t>
            </w:r>
          </w:p>
        </w:tc>
        <w:tc>
          <w:tcPr>
            <w:tcW w:w="1862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030E0C53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7.64 (3.12, 12.16)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CFB6B52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0.0010</w:t>
            </w:r>
          </w:p>
        </w:tc>
      </w:tr>
      <w:tr w:rsidR="001D2026" w:rsidRPr="00625CEC" w14:paraId="3D7E82BB" w14:textId="77777777" w:rsidTr="00D043B5">
        <w:trPr>
          <w:cantSplit/>
          <w:trHeight w:val="418"/>
        </w:trPr>
        <w:tc>
          <w:tcPr>
            <w:tcW w:w="2287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61A9DEC" w14:textId="77777777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6291318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Yes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0CE4793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3.73 (0.77, 6.70)</w:t>
            </w:r>
          </w:p>
        </w:tc>
        <w:tc>
          <w:tcPr>
            <w:tcW w:w="1862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49CB3A9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18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AA52B64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1D2026" w:rsidRPr="00625CEC" w14:paraId="15624568" w14:textId="77777777" w:rsidTr="00D043B5">
        <w:trPr>
          <w:cantSplit/>
          <w:trHeight w:val="418"/>
        </w:trPr>
        <w:tc>
          <w:tcPr>
            <w:tcW w:w="2287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96A0CE3" w14:textId="1A2116A2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Ranibizumab 0.5mg: VA and/or OCT</w:t>
            </w:r>
            <w:r w:rsidR="002622A4">
              <w:rPr>
                <w:rFonts w:ascii="Arial" w:hAnsi="Arial" w:cs="Arial"/>
              </w:rPr>
              <w:br/>
            </w:r>
            <w:r w:rsidRPr="00625CEC">
              <w:rPr>
                <w:rFonts w:ascii="Arial" w:hAnsi="Arial" w:cs="Arial"/>
              </w:rPr>
              <w:t>(Group II)</w:t>
            </w:r>
          </w:p>
        </w:tc>
        <w:tc>
          <w:tcPr>
            <w:tcW w:w="1573" w:type="dxa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47D28D9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No</w:t>
            </w: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094D224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10.49 (7.26, 13.72)</w:t>
            </w:r>
            <w:bookmarkStart w:id="0" w:name="_GoBack"/>
            <w:bookmarkEnd w:id="0"/>
          </w:p>
        </w:tc>
        <w:tc>
          <w:tcPr>
            <w:tcW w:w="1862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84E8998" w14:textId="026E0A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4.80 (0.34,</w:t>
            </w:r>
            <w:r w:rsidR="002622A4">
              <w:rPr>
                <w:rFonts w:ascii="Arial" w:hAnsi="Arial" w:cs="Arial"/>
              </w:rPr>
              <w:t xml:space="preserve"> </w:t>
            </w:r>
            <w:r w:rsidRPr="00625CEC">
              <w:rPr>
                <w:rFonts w:ascii="Arial" w:hAnsi="Arial" w:cs="Arial"/>
              </w:rPr>
              <w:t>9.26)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8014FE0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0.0350</w:t>
            </w:r>
          </w:p>
        </w:tc>
      </w:tr>
      <w:tr w:rsidR="001D2026" w:rsidRPr="00625CEC" w14:paraId="6332A649" w14:textId="77777777" w:rsidTr="00D043B5">
        <w:trPr>
          <w:cantSplit/>
          <w:trHeight w:val="418"/>
        </w:trPr>
        <w:tc>
          <w:tcPr>
            <w:tcW w:w="2287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760D5203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781035DF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Yes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0EFA4B9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5.69 (2.71, 8.67)</w:t>
            </w:r>
          </w:p>
        </w:tc>
        <w:tc>
          <w:tcPr>
            <w:tcW w:w="186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48F18A9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0B1E1DD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27D71B0E" w14:textId="529420E4" w:rsidR="001D2026" w:rsidRPr="00625CEC" w:rsidRDefault="001D2026" w:rsidP="00573E5B">
      <w:pPr>
        <w:pBdr>
          <w:top w:val="single" w:sz="4" w:space="1" w:color="auto"/>
        </w:pBdr>
        <w:spacing w:after="160" w:line="360" w:lineRule="auto"/>
        <w:rPr>
          <w:rFonts w:ascii="Arial" w:hAnsi="Arial" w:cs="Arial"/>
          <w:color w:val="000000"/>
          <w:sz w:val="18"/>
          <w:szCs w:val="20"/>
        </w:rPr>
      </w:pPr>
      <w:r w:rsidRPr="00625CEC">
        <w:rPr>
          <w:rFonts w:ascii="Arial" w:hAnsi="Arial" w:cs="Arial"/>
          <w:color w:val="000000"/>
          <w:sz w:val="18"/>
          <w:szCs w:val="20"/>
        </w:rPr>
        <w:t>Number of patients with non-missing covariate and Month 12 BCVA data.</w:t>
      </w:r>
      <w:r w:rsidR="005E6ECF">
        <w:rPr>
          <w:rFonts w:ascii="Arial" w:hAnsi="Arial" w:cs="Arial"/>
          <w:color w:val="000000"/>
          <w:sz w:val="18"/>
          <w:szCs w:val="20"/>
        </w:rPr>
        <w:t xml:space="preserve"> </w:t>
      </w:r>
      <w:r w:rsidRPr="00625CEC">
        <w:rPr>
          <w:rFonts w:ascii="Arial" w:hAnsi="Arial" w:cs="Arial"/>
          <w:color w:val="000000"/>
          <w:sz w:val="18"/>
          <w:szCs w:val="20"/>
        </w:rPr>
        <w:t xml:space="preserve">Difference of the mean change in BCVA is No Presence of </w:t>
      </w:r>
      <w:r w:rsidR="00E40825">
        <w:rPr>
          <w:rFonts w:ascii="Arial" w:hAnsi="Arial" w:cs="Arial"/>
          <w:color w:val="000000"/>
          <w:sz w:val="18"/>
          <w:szCs w:val="20"/>
        </w:rPr>
        <w:t>cysts</w:t>
      </w:r>
      <w:r w:rsidR="002658FC" w:rsidRPr="00625CEC">
        <w:rPr>
          <w:rFonts w:ascii="Arial" w:hAnsi="Arial" w:cs="Arial"/>
          <w:color w:val="000000"/>
          <w:sz w:val="18"/>
          <w:szCs w:val="20"/>
        </w:rPr>
        <w:t xml:space="preserve"> </w:t>
      </w:r>
      <w:r w:rsidRPr="00625CEC">
        <w:rPr>
          <w:rFonts w:ascii="Arial" w:hAnsi="Arial" w:cs="Arial"/>
          <w:color w:val="000000"/>
          <w:sz w:val="18"/>
          <w:szCs w:val="20"/>
        </w:rPr>
        <w:t xml:space="preserve">– Presence of </w:t>
      </w:r>
      <w:r w:rsidR="00E40825">
        <w:rPr>
          <w:rFonts w:ascii="Arial" w:hAnsi="Arial" w:cs="Arial"/>
          <w:color w:val="000000"/>
          <w:sz w:val="18"/>
          <w:szCs w:val="20"/>
        </w:rPr>
        <w:t>cysts</w:t>
      </w:r>
    </w:p>
    <w:p w14:paraId="7E42669B" w14:textId="300ADC44" w:rsidR="00906052" w:rsidRPr="00625CEC" w:rsidRDefault="00906052" w:rsidP="00573E5B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  <w:szCs w:val="20"/>
        </w:rPr>
      </w:pPr>
      <w:r w:rsidRPr="00625CEC">
        <w:rPr>
          <w:rFonts w:ascii="Arial" w:hAnsi="Arial" w:cs="Arial"/>
          <w:sz w:val="18"/>
          <w:szCs w:val="20"/>
        </w:rPr>
        <w:t xml:space="preserve">Linear model of change in BCVA </w:t>
      </w:r>
      <w:r w:rsidR="002658FC">
        <w:rPr>
          <w:rFonts w:ascii="Arial" w:hAnsi="Arial" w:cs="Arial"/>
          <w:sz w:val="18"/>
          <w:szCs w:val="20"/>
        </w:rPr>
        <w:t xml:space="preserve">from baseline </w:t>
      </w:r>
      <w:r w:rsidR="00C313A4">
        <w:rPr>
          <w:rFonts w:ascii="Arial" w:hAnsi="Arial" w:cs="Arial"/>
          <w:sz w:val="18"/>
          <w:szCs w:val="20"/>
        </w:rPr>
        <w:t>at</w:t>
      </w:r>
      <w:r w:rsidRPr="00625CEC">
        <w:rPr>
          <w:rFonts w:ascii="Arial" w:hAnsi="Arial" w:cs="Arial"/>
          <w:sz w:val="18"/>
          <w:szCs w:val="20"/>
        </w:rPr>
        <w:t xml:space="preserve"> Month 12 adjusting for treatment, baseline </w:t>
      </w:r>
      <w:r w:rsidR="00E40825">
        <w:rPr>
          <w:rFonts w:ascii="Arial" w:hAnsi="Arial" w:cs="Arial"/>
          <w:sz w:val="18"/>
          <w:szCs w:val="20"/>
        </w:rPr>
        <w:t>cysts</w:t>
      </w:r>
      <w:r w:rsidRPr="00625CEC">
        <w:rPr>
          <w:rFonts w:ascii="Arial" w:hAnsi="Arial" w:cs="Arial"/>
          <w:sz w:val="18"/>
          <w:szCs w:val="20"/>
        </w:rPr>
        <w:t xml:space="preserve">, baseline BCVA and baseline </w:t>
      </w:r>
      <w:r w:rsidR="00E40825">
        <w:rPr>
          <w:rFonts w:ascii="Arial" w:hAnsi="Arial" w:cs="Arial"/>
          <w:sz w:val="18"/>
          <w:szCs w:val="20"/>
        </w:rPr>
        <w:t>cysts</w:t>
      </w:r>
      <w:r w:rsidR="002658FC">
        <w:rPr>
          <w:rFonts w:ascii="Arial" w:hAnsi="Arial" w:cs="Arial"/>
          <w:sz w:val="18"/>
          <w:szCs w:val="20"/>
        </w:rPr>
        <w:t>/</w:t>
      </w:r>
      <w:r w:rsidRPr="00625CEC">
        <w:rPr>
          <w:rFonts w:ascii="Arial" w:hAnsi="Arial" w:cs="Arial"/>
          <w:sz w:val="18"/>
          <w:szCs w:val="20"/>
        </w:rPr>
        <w:t>treatment interaction</w:t>
      </w:r>
    </w:p>
    <w:p w14:paraId="0235B125" w14:textId="17BEA45F" w:rsidR="001D2026" w:rsidRPr="00625CEC" w:rsidRDefault="001D2026" w:rsidP="00573E5B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  <w:szCs w:val="20"/>
        </w:rPr>
      </w:pPr>
      <w:r w:rsidRPr="00625CEC">
        <w:rPr>
          <w:rFonts w:ascii="Arial" w:hAnsi="Arial" w:cs="Arial"/>
          <w:sz w:val="18"/>
          <w:szCs w:val="20"/>
        </w:rPr>
        <w:t>The FAS comprised all patients to whom a treatment regimen had been assigned</w:t>
      </w:r>
    </w:p>
    <w:p w14:paraId="124EFBD2" w14:textId="155DA3B2" w:rsidR="0067606F" w:rsidRDefault="001D2026" w:rsidP="004D33B2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color w:val="000000"/>
          <w:sz w:val="18"/>
          <w:szCs w:val="20"/>
        </w:rPr>
        <w:t xml:space="preserve">BCVA, best-corrected visual acuity; </w:t>
      </w:r>
      <w:r w:rsidR="00D02D60">
        <w:rPr>
          <w:rFonts w:ascii="Arial" w:hAnsi="Arial" w:cs="Arial"/>
          <w:color w:val="000000"/>
          <w:sz w:val="18"/>
          <w:szCs w:val="20"/>
        </w:rPr>
        <w:t xml:space="preserve">FAS, full analysis set; </w:t>
      </w:r>
      <w:r w:rsidRPr="00625CEC">
        <w:rPr>
          <w:rFonts w:ascii="Arial" w:hAnsi="Arial" w:cs="Arial"/>
          <w:color w:val="000000"/>
          <w:sz w:val="18"/>
          <w:szCs w:val="20"/>
        </w:rPr>
        <w:t>CI, confidence interval; OCT, optical coheren</w:t>
      </w:r>
      <w:r w:rsidR="004D33B2">
        <w:rPr>
          <w:rFonts w:ascii="Arial" w:hAnsi="Arial" w:cs="Arial"/>
          <w:color w:val="000000"/>
          <w:sz w:val="18"/>
          <w:szCs w:val="20"/>
        </w:rPr>
        <w:t>ce tomography; VA, visual acuity</w:t>
      </w:r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D4BE3" w14:textId="77777777" w:rsidR="00B9380B" w:rsidRDefault="00B9380B" w:rsidP="009557C9">
      <w:r>
        <w:separator/>
      </w:r>
    </w:p>
  </w:endnote>
  <w:endnote w:type="continuationSeparator" w:id="0">
    <w:p w14:paraId="5E4DE182" w14:textId="77777777" w:rsidR="00B9380B" w:rsidRDefault="00B9380B" w:rsidP="009557C9">
      <w:r>
        <w:continuationSeparator/>
      </w:r>
    </w:p>
  </w:endnote>
  <w:endnote w:type="continuationNotice" w:id="1">
    <w:p w14:paraId="2F973AD8" w14:textId="77777777" w:rsidR="00B9380B" w:rsidRDefault="00B938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71BFE685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5E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5CC3A" w14:textId="77777777" w:rsidR="00B9380B" w:rsidRDefault="00B9380B" w:rsidP="009557C9">
      <w:r>
        <w:separator/>
      </w:r>
    </w:p>
  </w:footnote>
  <w:footnote w:type="continuationSeparator" w:id="0">
    <w:p w14:paraId="0334062F" w14:textId="77777777" w:rsidR="00B9380B" w:rsidRDefault="00B9380B" w:rsidP="009557C9">
      <w:r>
        <w:continuationSeparator/>
      </w:r>
    </w:p>
  </w:footnote>
  <w:footnote w:type="continuationNotice" w:id="1">
    <w:p w14:paraId="43338CA4" w14:textId="77777777" w:rsidR="00B9380B" w:rsidRDefault="00B9380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369D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33B2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C66C1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38DA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45ED2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380B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9AA6B-3728-4A40-90F8-1187F2A27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Pinnamaneni, Indumathy</cp:lastModifiedBy>
  <cp:revision>10</cp:revision>
  <cp:lastPrinted>2017-12-04T11:09:00Z</cp:lastPrinted>
  <dcterms:created xsi:type="dcterms:W3CDTF">2018-05-16T07:36:00Z</dcterms:created>
  <dcterms:modified xsi:type="dcterms:W3CDTF">2019-08-29T11:41:00Z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2018-12-07T07:44:11.5876086Z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</Properties>
</file>